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52C" w:rsidRDefault="000A152C">
      <w:bookmarkStart w:id="0" w:name="_GoBack"/>
      <w:bookmarkEnd w:id="0"/>
      <w:r>
        <w:t>This document represents an agreement between Karl E. Wiegers, Principal Consultant at Process Impact (the Consultant), and [CLIENT] (the Client) regarding sof</w:t>
      </w:r>
      <w:r>
        <w:t>t</w:t>
      </w:r>
      <w:r>
        <w:t>ware engineering consultation services.</w:t>
      </w:r>
    </w:p>
    <w:p w:rsidR="000A152C" w:rsidRDefault="000A152C"/>
    <w:tbl>
      <w:tblPr>
        <w:tblW w:w="0" w:type="auto"/>
        <w:tblLayout w:type="fixed"/>
        <w:tblLook w:val="0000" w:firstRow="0" w:lastRow="0" w:firstColumn="0" w:lastColumn="0" w:noHBand="0" w:noVBand="0"/>
      </w:tblPr>
      <w:tblGrid>
        <w:gridCol w:w="1908"/>
        <w:gridCol w:w="8370"/>
      </w:tblGrid>
      <w:tr w:rsidR="000A152C">
        <w:tblPrEx>
          <w:tblCellMar>
            <w:top w:w="0" w:type="dxa"/>
            <w:bottom w:w="0" w:type="dxa"/>
          </w:tblCellMar>
        </w:tblPrEx>
        <w:tc>
          <w:tcPr>
            <w:tcW w:w="1908" w:type="dxa"/>
          </w:tcPr>
          <w:p w:rsidR="000A152C" w:rsidRDefault="000A152C">
            <w:pPr>
              <w:tabs>
                <w:tab w:val="clear" w:pos="720"/>
              </w:tabs>
              <w:spacing w:before="80" w:after="80"/>
              <w:rPr>
                <w:b/>
              </w:rPr>
            </w:pPr>
            <w:r>
              <w:rPr>
                <w:b/>
              </w:rPr>
              <w:t>Services</w:t>
            </w:r>
          </w:p>
        </w:tc>
        <w:tc>
          <w:tcPr>
            <w:tcW w:w="8370" w:type="dxa"/>
            <w:tcBorders>
              <w:top w:val="single" w:sz="12" w:space="0" w:color="auto"/>
            </w:tcBorders>
          </w:tcPr>
          <w:p w:rsidR="000A152C" w:rsidRDefault="000A152C">
            <w:pPr>
              <w:tabs>
                <w:tab w:val="clear" w:pos="720"/>
              </w:tabs>
              <w:spacing w:before="80" w:after="80"/>
            </w:pPr>
            <w:r>
              <w:t xml:space="preserve">The Consultant agrees to provide off-site consulting services to Client. The purpose of this consultation is to review and provide recommendations for improvements in </w:t>
            </w:r>
            <w:r w:rsidR="004F0E60">
              <w:t>[WHATEVER]</w:t>
            </w:r>
            <w:r>
              <w:t>, to pr</w:t>
            </w:r>
            <w:r>
              <w:t>o</w:t>
            </w:r>
            <w:r>
              <w:t>vide telephone and e-mail coaching and consulting services, and to address related topics as r</w:t>
            </w:r>
            <w:r>
              <w:t>e</w:t>
            </w:r>
            <w:r>
              <w:t>quested by Client. As appropriate or as requested, the Consultant will deliver a written summary of recommendations. The contact person at Client is [CONTACT].</w:t>
            </w:r>
          </w:p>
        </w:tc>
      </w:tr>
      <w:tr w:rsidR="000A152C">
        <w:tblPrEx>
          <w:tblCellMar>
            <w:top w:w="0" w:type="dxa"/>
            <w:bottom w:w="0" w:type="dxa"/>
          </w:tblCellMar>
        </w:tblPrEx>
        <w:tc>
          <w:tcPr>
            <w:tcW w:w="1908" w:type="dxa"/>
          </w:tcPr>
          <w:p w:rsidR="000A152C" w:rsidRDefault="000A152C">
            <w:pPr>
              <w:tabs>
                <w:tab w:val="clear" w:pos="720"/>
              </w:tabs>
              <w:spacing w:before="80" w:after="80"/>
              <w:rPr>
                <w:b/>
              </w:rPr>
            </w:pPr>
            <w:r>
              <w:rPr>
                <w:b/>
              </w:rPr>
              <w:t>Confidentiality</w:t>
            </w:r>
          </w:p>
        </w:tc>
        <w:tc>
          <w:tcPr>
            <w:tcW w:w="8370" w:type="dxa"/>
            <w:tcBorders>
              <w:top w:val="single" w:sz="12" w:space="0" w:color="auto"/>
            </w:tcBorders>
          </w:tcPr>
          <w:p w:rsidR="000A152C" w:rsidRDefault="000A152C">
            <w:pPr>
              <w:tabs>
                <w:tab w:val="clear" w:pos="720"/>
              </w:tabs>
              <w:spacing w:before="80" w:after="80"/>
            </w:pPr>
            <w:r>
              <w:t>The Consultant warrants that any information revealed to him by employees of Client will be held in confidence and will not be divulged without permission from Client to anyone outside Client.</w:t>
            </w:r>
          </w:p>
        </w:tc>
      </w:tr>
      <w:tr w:rsidR="000A152C">
        <w:tblPrEx>
          <w:tblCellMar>
            <w:top w:w="0" w:type="dxa"/>
            <w:bottom w:w="0" w:type="dxa"/>
          </w:tblCellMar>
        </w:tblPrEx>
        <w:tc>
          <w:tcPr>
            <w:tcW w:w="1908" w:type="dxa"/>
          </w:tcPr>
          <w:p w:rsidR="000A152C" w:rsidRDefault="000A152C">
            <w:pPr>
              <w:tabs>
                <w:tab w:val="clear" w:pos="720"/>
              </w:tabs>
              <w:spacing w:before="80" w:after="80"/>
              <w:rPr>
                <w:b/>
              </w:rPr>
            </w:pPr>
            <w:r>
              <w:rPr>
                <w:b/>
              </w:rPr>
              <w:t>Financials</w:t>
            </w:r>
          </w:p>
        </w:tc>
        <w:tc>
          <w:tcPr>
            <w:tcW w:w="8370" w:type="dxa"/>
            <w:tcBorders>
              <w:top w:val="single" w:sz="12" w:space="0" w:color="auto"/>
            </w:tcBorders>
          </w:tcPr>
          <w:p w:rsidR="000A152C" w:rsidRDefault="000A152C">
            <w:pPr>
              <w:tabs>
                <w:tab w:val="clear" w:pos="720"/>
              </w:tabs>
              <w:spacing w:before="80" w:after="80"/>
            </w:pPr>
            <w:r>
              <w:t>Client agrees to pay a fee of $</w:t>
            </w:r>
            <w:r w:rsidR="004F0E60">
              <w:t>XX</w:t>
            </w:r>
            <w:r>
              <w:t xml:space="preserve"> per hour for these consulting services, billed in qua</w:t>
            </w:r>
            <w:r>
              <w:t>r</w:t>
            </w:r>
            <w:r>
              <w:t>ter-hour increments. The Consul</w:t>
            </w:r>
            <w:r>
              <w:t>t</w:t>
            </w:r>
            <w:r>
              <w:t>ant will submit an invoice to Client at the end of any month during which services were provided, and Client will pay the Consultant within 30 days a</w:t>
            </w:r>
            <w:r>
              <w:t>f</w:t>
            </w:r>
            <w:r>
              <w:t>ter r</w:t>
            </w:r>
            <w:r>
              <w:t>e</w:t>
            </w:r>
            <w:r>
              <w:t>ceipt of the invoice. Interest on past due accounts shall accrue at a rate of 1 percent per month or portion thereof.</w:t>
            </w:r>
          </w:p>
        </w:tc>
      </w:tr>
      <w:tr w:rsidR="000A152C">
        <w:tblPrEx>
          <w:tblCellMar>
            <w:top w:w="0" w:type="dxa"/>
            <w:bottom w:w="0" w:type="dxa"/>
          </w:tblCellMar>
        </w:tblPrEx>
        <w:tc>
          <w:tcPr>
            <w:tcW w:w="1908" w:type="dxa"/>
          </w:tcPr>
          <w:p w:rsidR="000A152C" w:rsidRDefault="000A152C">
            <w:pPr>
              <w:tabs>
                <w:tab w:val="clear" w:pos="720"/>
              </w:tabs>
              <w:spacing w:before="80" w:after="80"/>
              <w:rPr>
                <w:b/>
              </w:rPr>
            </w:pPr>
            <w:r>
              <w:rPr>
                <w:b/>
              </w:rPr>
              <w:t>Guarantee</w:t>
            </w:r>
          </w:p>
        </w:tc>
        <w:tc>
          <w:tcPr>
            <w:tcW w:w="8370" w:type="dxa"/>
            <w:tcBorders>
              <w:top w:val="single" w:sz="12" w:space="0" w:color="auto"/>
            </w:tcBorders>
          </w:tcPr>
          <w:p w:rsidR="000A152C" w:rsidRDefault="000A152C">
            <w:pPr>
              <w:tabs>
                <w:tab w:val="clear" w:pos="720"/>
              </w:tabs>
              <w:spacing w:before="80" w:after="80"/>
            </w:pPr>
            <w:r>
              <w:t>If Client determines that the services provided do not satisfy their expectations, the Consul</w:t>
            </w:r>
            <w:r>
              <w:t>t</w:t>
            </w:r>
            <w:r>
              <w:t>ant will provide a full or partial refund of the consulting fee.</w:t>
            </w:r>
          </w:p>
        </w:tc>
      </w:tr>
      <w:tr w:rsidR="000A152C">
        <w:tblPrEx>
          <w:tblCellMar>
            <w:top w:w="0" w:type="dxa"/>
            <w:bottom w:w="0" w:type="dxa"/>
          </w:tblCellMar>
        </w:tblPrEx>
        <w:tc>
          <w:tcPr>
            <w:tcW w:w="1908" w:type="dxa"/>
          </w:tcPr>
          <w:p w:rsidR="000A152C" w:rsidRDefault="000A152C">
            <w:pPr>
              <w:tabs>
                <w:tab w:val="clear" w:pos="720"/>
              </w:tabs>
              <w:spacing w:before="80" w:after="80"/>
              <w:rPr>
                <w:b/>
              </w:rPr>
            </w:pPr>
            <w:r>
              <w:rPr>
                <w:b/>
              </w:rPr>
              <w:t>Employment St</w:t>
            </w:r>
            <w:r>
              <w:rPr>
                <w:b/>
              </w:rPr>
              <w:t>a</w:t>
            </w:r>
            <w:r>
              <w:rPr>
                <w:b/>
              </w:rPr>
              <w:t>tus</w:t>
            </w:r>
          </w:p>
        </w:tc>
        <w:tc>
          <w:tcPr>
            <w:tcW w:w="8370" w:type="dxa"/>
            <w:tcBorders>
              <w:top w:val="single" w:sz="12" w:space="0" w:color="auto"/>
            </w:tcBorders>
          </w:tcPr>
          <w:p w:rsidR="000A152C" w:rsidRDefault="000A152C">
            <w:pPr>
              <w:tabs>
                <w:tab w:val="clear" w:pos="720"/>
              </w:tabs>
              <w:spacing w:before="80" w:after="80"/>
            </w:pPr>
            <w:r>
              <w:t>The Consultant and Client agree that the Consultant is not an employee of Client, but is providing services as an independent professional consultant.</w:t>
            </w:r>
          </w:p>
        </w:tc>
      </w:tr>
      <w:tr w:rsidR="000A152C">
        <w:tblPrEx>
          <w:tblCellMar>
            <w:top w:w="0" w:type="dxa"/>
            <w:bottom w:w="0" w:type="dxa"/>
          </w:tblCellMar>
        </w:tblPrEx>
        <w:tc>
          <w:tcPr>
            <w:tcW w:w="1908" w:type="dxa"/>
          </w:tcPr>
          <w:p w:rsidR="000A152C" w:rsidRDefault="000A152C">
            <w:pPr>
              <w:tabs>
                <w:tab w:val="clear" w:pos="720"/>
              </w:tabs>
              <w:spacing w:before="80" w:after="80"/>
              <w:rPr>
                <w:b/>
              </w:rPr>
            </w:pPr>
            <w:r>
              <w:rPr>
                <w:b/>
              </w:rPr>
              <w:t>Limitation of</w:t>
            </w:r>
            <w:r>
              <w:rPr>
                <w:b/>
              </w:rPr>
              <w:br/>
              <w:t>Liability</w:t>
            </w:r>
          </w:p>
        </w:tc>
        <w:tc>
          <w:tcPr>
            <w:tcW w:w="8370" w:type="dxa"/>
            <w:tcBorders>
              <w:top w:val="single" w:sz="12" w:space="0" w:color="auto"/>
              <w:bottom w:val="single" w:sz="12" w:space="0" w:color="auto"/>
            </w:tcBorders>
          </w:tcPr>
          <w:p w:rsidR="000A152C" w:rsidRDefault="000A152C">
            <w:pPr>
              <w:tabs>
                <w:tab w:val="clear" w:pos="720"/>
              </w:tabs>
              <w:spacing w:before="80" w:after="80"/>
            </w:pPr>
            <w:r>
              <w:t>The Consultant shall not be held liable for any loss or lack of benefit ensuing from applic</w:t>
            </w:r>
            <w:r>
              <w:t>a</w:t>
            </w:r>
            <w:r>
              <w:t>tion of the advice or recommendations presented during this consultation.</w:t>
            </w:r>
          </w:p>
        </w:tc>
      </w:tr>
    </w:tbl>
    <w:p w:rsidR="000A152C" w:rsidRDefault="000A152C"/>
    <w:p w:rsidR="000A152C" w:rsidRDefault="000A152C">
      <w:r>
        <w:t>Accepted:</w:t>
      </w:r>
    </w:p>
    <w:p w:rsidR="000A152C" w:rsidRDefault="000A152C"/>
    <w:p w:rsidR="000A152C" w:rsidRDefault="000A152C">
      <w:pPr>
        <w:tabs>
          <w:tab w:val="clear" w:pos="720"/>
          <w:tab w:val="left" w:pos="3240"/>
          <w:tab w:val="left" w:pos="5040"/>
          <w:tab w:val="left" w:pos="8460"/>
        </w:tabs>
        <w:spacing w:line="240" w:lineRule="auto"/>
      </w:pPr>
      <w:r>
        <w:t>_________________________</w:t>
      </w:r>
      <w:r>
        <w:tab/>
        <w:t>___________</w:t>
      </w:r>
      <w:r>
        <w:tab/>
        <w:t>__________________________</w:t>
      </w:r>
      <w:r>
        <w:tab/>
        <w:t>____________</w:t>
      </w:r>
    </w:p>
    <w:p w:rsidR="000A152C" w:rsidRDefault="000A152C">
      <w:pPr>
        <w:tabs>
          <w:tab w:val="clear" w:pos="720"/>
          <w:tab w:val="left" w:pos="3240"/>
          <w:tab w:val="left" w:pos="5040"/>
          <w:tab w:val="left" w:pos="8460"/>
        </w:tabs>
      </w:pPr>
      <w:r>
        <w:rPr>
          <w:b/>
        </w:rPr>
        <w:t>Process Impact</w:t>
      </w:r>
      <w:r>
        <w:rPr>
          <w:b/>
        </w:rPr>
        <w:tab/>
        <w:t>Date</w:t>
      </w:r>
      <w:r>
        <w:rPr>
          <w:b/>
        </w:rPr>
        <w:tab/>
        <w:t>[CLIENT]</w:t>
      </w:r>
      <w:r>
        <w:rPr>
          <w:b/>
        </w:rPr>
        <w:tab/>
        <w:t>Date</w:t>
      </w:r>
    </w:p>
    <w:sectPr w:rsidR="000A152C">
      <w:headerReference w:type="even" r:id="rId8"/>
      <w:headerReference w:type="default" r:id="rId9"/>
      <w:footerReference w:type="even" r:id="rId10"/>
      <w:footerReference w:type="default" r:id="rId11"/>
      <w:headerReference w:type="first" r:id="rId12"/>
      <w:footerReference w:type="first" r:id="rId13"/>
      <w:pgSz w:w="12240" w:h="15840"/>
      <w:pgMar w:top="126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B6" w:rsidRDefault="004069B6">
      <w:r>
        <w:separator/>
      </w:r>
    </w:p>
  </w:endnote>
  <w:endnote w:type="continuationSeparator" w:id="0">
    <w:p w:rsidR="004069B6" w:rsidRDefault="0040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BAE" w:rsidRDefault="00CD4B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52C" w:rsidRDefault="000A152C">
    <w:pPr>
      <w:pStyle w:val="Footer"/>
      <w:tabs>
        <w:tab w:val="clear" w:pos="4320"/>
        <w:tab w:val="clear" w:pos="8640"/>
        <w:tab w:val="center" w:pos="4680"/>
        <w:tab w:val="right" w:pos="93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BAE" w:rsidRDefault="00CD4B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B6" w:rsidRDefault="004069B6">
      <w:r>
        <w:separator/>
      </w:r>
    </w:p>
  </w:footnote>
  <w:footnote w:type="continuationSeparator" w:id="0">
    <w:p w:rsidR="004069B6" w:rsidRDefault="00406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BAE" w:rsidRDefault="00CD4B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52C" w:rsidRDefault="00237E3E">
    <w:pPr>
      <w:pStyle w:val="Header"/>
      <w:tabs>
        <w:tab w:val="clear" w:pos="4320"/>
        <w:tab w:val="clear" w:pos="8640"/>
        <w:tab w:val="center" w:pos="4680"/>
        <w:tab w:val="right" w:pos="9360"/>
      </w:tabs>
      <w:spacing w:line="240" w:lineRule="atLeast"/>
      <w:jc w:val="center"/>
    </w:pPr>
    <w:r>
      <w:rPr>
        <w:noProof/>
        <w:lang w:bidi="ar-SA"/>
      </w:rPr>
      <w:drawing>
        <wp:inline distT="0" distB="0" distL="0" distR="0">
          <wp:extent cx="2771775" cy="574040"/>
          <wp:effectExtent l="0" t="0" r="952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574040"/>
                  </a:xfrm>
                  <a:prstGeom prst="rect">
                    <a:avLst/>
                  </a:prstGeom>
                  <a:noFill/>
                </pic:spPr>
              </pic:pic>
            </a:graphicData>
          </a:graphic>
        </wp:inline>
      </w:drawing>
    </w:r>
  </w:p>
  <w:p w:rsidR="000A152C" w:rsidRDefault="000A152C">
    <w:pPr>
      <w:pStyle w:val="Header"/>
      <w:tabs>
        <w:tab w:val="clear" w:pos="4320"/>
        <w:tab w:val="clear" w:pos="8640"/>
        <w:tab w:val="center" w:pos="4680"/>
        <w:tab w:val="right" w:pos="8460"/>
      </w:tabs>
      <w:spacing w:before="20" w:after="20" w:line="240" w:lineRule="atLeast"/>
      <w:ind w:right="450"/>
      <w:jc w:val="center"/>
      <w:rPr>
        <w:rFonts w:ascii="Copperplate Gothic Light" w:hAnsi="Copperplate Gothic Light"/>
        <w:sz w:val="20"/>
      </w:rPr>
    </w:pPr>
    <w:r>
      <w:rPr>
        <w:rFonts w:ascii="Copperplate Gothic Light" w:hAnsi="Copperplate Gothic Light"/>
        <w:sz w:val="20"/>
      </w:rPr>
      <w:t>11491 SE 119</w:t>
    </w:r>
    <w:r>
      <w:rPr>
        <w:rFonts w:ascii="Copperplate Gothic Light" w:hAnsi="Copperplate Gothic Light"/>
        <w:sz w:val="20"/>
        <w:vertAlign w:val="superscript"/>
      </w:rPr>
      <w:t>th</w:t>
    </w:r>
    <w:r>
      <w:rPr>
        <w:rFonts w:ascii="Copperplate Gothic Light" w:hAnsi="Copperplate Gothic Light"/>
        <w:sz w:val="20"/>
      </w:rPr>
      <w:t xml:space="preserve"> Drive</w:t>
    </w:r>
  </w:p>
  <w:p w:rsidR="000A152C" w:rsidRDefault="000A152C">
    <w:pPr>
      <w:pStyle w:val="Header"/>
      <w:tabs>
        <w:tab w:val="clear" w:pos="4320"/>
        <w:tab w:val="clear" w:pos="8640"/>
        <w:tab w:val="center" w:pos="4680"/>
        <w:tab w:val="right" w:pos="8460"/>
      </w:tabs>
      <w:spacing w:before="20" w:after="20" w:line="220" w:lineRule="exact"/>
      <w:ind w:right="450"/>
      <w:jc w:val="center"/>
      <w:rPr>
        <w:rFonts w:ascii="Copperplate Gothic Light" w:hAnsi="Copperplate Gothic Light"/>
      </w:rPr>
    </w:pPr>
    <w:r>
      <w:rPr>
        <w:rFonts w:ascii="Copperplate Gothic Light" w:hAnsi="Copperplate Gothic Light"/>
        <w:sz w:val="20"/>
      </w:rPr>
      <w:t>Happy Valley, OR 97086-8278</w:t>
    </w:r>
  </w:p>
  <w:p w:rsidR="000A152C" w:rsidRDefault="000A152C">
    <w:pPr>
      <w:pStyle w:val="Header"/>
      <w:tabs>
        <w:tab w:val="clear" w:pos="4320"/>
        <w:tab w:val="clear" w:pos="8640"/>
        <w:tab w:val="right" w:pos="8460"/>
      </w:tabs>
      <w:spacing w:before="20" w:after="20" w:line="220" w:lineRule="exact"/>
      <w:ind w:right="446"/>
      <w:jc w:val="center"/>
      <w:rPr>
        <w:rFonts w:ascii="Copperplate Gothic Light" w:hAnsi="Copperplate Gothic Light"/>
        <w:sz w:val="20"/>
      </w:rPr>
    </w:pPr>
    <w:r>
      <w:rPr>
        <w:rFonts w:ascii="Copperplate Gothic Light" w:hAnsi="Copperplate Gothic Light"/>
      </w:rPr>
      <w:t xml:space="preserve">phone:  </w:t>
    </w:r>
    <w:r>
      <w:rPr>
        <w:rFonts w:ascii="Copperplate Gothic Light" w:hAnsi="Copperplate Gothic Light"/>
        <w:sz w:val="20"/>
      </w:rPr>
      <w:t>503-698-9620</w:t>
    </w:r>
    <w:r>
      <w:rPr>
        <w:rFonts w:ascii="Copperplate Gothic Light" w:hAnsi="Copperplate Gothic Light"/>
      </w:rPr>
      <w:t xml:space="preserve">         fax: </w:t>
    </w:r>
    <w:r>
      <w:rPr>
        <w:rFonts w:ascii="Copperplate Gothic Light" w:hAnsi="Copperplate Gothic Light"/>
        <w:sz w:val="20"/>
      </w:rPr>
      <w:t>503-698-9680</w:t>
    </w:r>
  </w:p>
  <w:p w:rsidR="000A152C" w:rsidRDefault="000A152C">
    <w:pPr>
      <w:pStyle w:val="Header"/>
      <w:tabs>
        <w:tab w:val="clear" w:pos="4320"/>
        <w:tab w:val="clear" w:pos="8640"/>
        <w:tab w:val="right" w:pos="8460"/>
      </w:tabs>
      <w:spacing w:before="20" w:after="20" w:line="220" w:lineRule="exact"/>
      <w:ind w:right="446"/>
      <w:jc w:val="center"/>
      <w:rPr>
        <w:rFonts w:ascii="Copperplate Gothic Light" w:hAnsi="Copperplate Gothic Light"/>
      </w:rPr>
    </w:pPr>
    <w:r>
      <w:rPr>
        <w:rFonts w:ascii="Copperplate Gothic Light" w:hAnsi="Copperplate Gothic Light"/>
        <w:sz w:val="20"/>
      </w:rPr>
      <w:t>www.processimpact.com</w:t>
    </w:r>
  </w:p>
  <w:p w:rsidR="000A152C" w:rsidRDefault="000A152C">
    <w:pPr>
      <w:pStyle w:val="Header"/>
      <w:tabs>
        <w:tab w:val="clear" w:pos="4320"/>
        <w:tab w:val="clear" w:pos="8640"/>
        <w:tab w:val="center" w:pos="4680"/>
        <w:tab w:val="right" w:pos="9360"/>
      </w:tabs>
      <w:spacing w:line="240" w:lineRule="exact"/>
    </w:pPr>
  </w:p>
  <w:p w:rsidR="000A152C" w:rsidRDefault="00B14CE5">
    <w:pPr>
      <w:spacing w:line="280" w:lineRule="atLeast"/>
      <w:ind w:left="720" w:hanging="720"/>
      <w:jc w:val="center"/>
      <w:rPr>
        <w:b/>
        <w:sz w:val="28"/>
      </w:rPr>
    </w:pPr>
    <w:r>
      <w:rPr>
        <w:b/>
        <w:sz w:val="28"/>
      </w:rPr>
      <w:t>Off</w:t>
    </w:r>
    <w:r w:rsidR="00CD4BAE">
      <w:rPr>
        <w:b/>
        <w:sz w:val="28"/>
      </w:rPr>
      <w:t>-S</w:t>
    </w:r>
    <w:r>
      <w:rPr>
        <w:b/>
        <w:sz w:val="28"/>
      </w:rPr>
      <w:t xml:space="preserve">ite </w:t>
    </w:r>
    <w:r w:rsidR="000A152C">
      <w:rPr>
        <w:b/>
        <w:sz w:val="28"/>
      </w:rPr>
      <w:t>Consulting Agreement</w:t>
    </w:r>
  </w:p>
  <w:p w:rsidR="000A152C" w:rsidRDefault="000A152C">
    <w:pPr>
      <w:pStyle w:val="Header"/>
      <w:tabs>
        <w:tab w:val="clear" w:pos="4320"/>
        <w:tab w:val="clear" w:pos="8640"/>
        <w:tab w:val="center" w:pos="4680"/>
        <w:tab w:val="right" w:pos="9360"/>
      </w:tabs>
      <w:spacing w:line="2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BAE" w:rsidRDefault="00CD4B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34E4DD2-20C5-43EE-9E9D-99774EE9819D}"/>
    <w:docVar w:name="dgnword-eventsink" w:val="89377600"/>
  </w:docVars>
  <w:rsids>
    <w:rsidRoot w:val="00C87F85"/>
    <w:rsid w:val="000A152C"/>
    <w:rsid w:val="00237E3E"/>
    <w:rsid w:val="004069B6"/>
    <w:rsid w:val="004F0E60"/>
    <w:rsid w:val="00815B83"/>
    <w:rsid w:val="00AC4A17"/>
    <w:rsid w:val="00B14CE5"/>
    <w:rsid w:val="00C87F85"/>
    <w:rsid w:val="00CA5443"/>
    <w:rsid w:val="00CD4BAE"/>
    <w:rsid w:val="00D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20"/>
      </w:tabs>
      <w:spacing w:line="220" w:lineRule="exact"/>
    </w:pPr>
    <w:rPr>
      <w:rFonts w:ascii="Times" w:hAnsi="Times"/>
      <w:sz w:val="22"/>
      <w:szCs w:val="22"/>
      <w:lang/>
    </w:rPr>
  </w:style>
  <w:style w:type="paragraph" w:styleId="Heading1">
    <w:name w:val="heading 1"/>
    <w:basedOn w:val="Normal"/>
    <w:next w:val="Normal"/>
    <w:qFormat/>
    <w:pPr>
      <w:pageBreakBefore/>
      <w:spacing w:line="360" w:lineRule="exact"/>
      <w:outlineLvl w:val="0"/>
    </w:pPr>
    <w:rPr>
      <w:b/>
      <w:bCs/>
      <w:kern w:val="28"/>
      <w:sz w:val="36"/>
      <w:szCs w:val="36"/>
    </w:rPr>
  </w:style>
  <w:style w:type="paragraph" w:styleId="Heading2">
    <w:name w:val="heading 2"/>
    <w:basedOn w:val="Normal"/>
    <w:next w:val="Normal"/>
    <w:qFormat/>
    <w:pPr>
      <w:spacing w:line="280" w:lineRule="exact"/>
      <w:outlineLvl w:val="1"/>
    </w:pPr>
    <w:rPr>
      <w:b/>
      <w:bCs/>
      <w:sz w:val="28"/>
      <w:szCs w:val="28"/>
    </w:rPr>
  </w:style>
  <w:style w:type="paragraph" w:styleId="Heading3">
    <w:name w:val="heading 3"/>
    <w:basedOn w:val="Normal"/>
    <w:next w:val="Normal"/>
    <w:qFormat/>
    <w:pPr>
      <w:spacing w:line="480" w:lineRule="exact"/>
      <w:outlineLvl w:val="2"/>
    </w:pPr>
    <w:rPr>
      <w:b/>
      <w:bCs/>
    </w:rPr>
  </w:style>
  <w:style w:type="paragraph" w:styleId="Heading4">
    <w:name w:val="heading 4"/>
    <w:basedOn w:val="Normal"/>
    <w:next w:val="Normal"/>
    <w:qFormat/>
    <w:pPr>
      <w:keepNext/>
      <w:outlineLvl w:val="3"/>
    </w:pPr>
    <w:rPr>
      <w:rFonts w:ascii="Times New Roman" w:hAnsi="Times New Roman"/>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spacing w:line="480" w:lineRule="auto"/>
    </w:pPr>
  </w:style>
  <w:style w:type="paragraph" w:styleId="TOC1">
    <w:name w:val="toc 1"/>
    <w:basedOn w:val="Heading1"/>
    <w:next w:val="Normal"/>
    <w:semiHidden/>
    <w:pPr>
      <w:tabs>
        <w:tab w:val="right" w:leader="dot" w:pos="9360"/>
      </w:tabs>
      <w:spacing w:line="480" w:lineRule="auto"/>
      <w:outlineLvl w:val="9"/>
    </w:pPr>
  </w:style>
  <w:style w:type="paragraph" w:styleId="TOC2">
    <w:name w:val="toc 2"/>
    <w:basedOn w:val="Heading2"/>
    <w:next w:val="Normal"/>
    <w:semiHidden/>
    <w:pPr>
      <w:tabs>
        <w:tab w:val="right" w:leader="dot" w:pos="9360"/>
      </w:tabs>
      <w:spacing w:line="480" w:lineRule="exact"/>
      <w:ind w:left="720"/>
      <w:outlineLvl w:val="9"/>
    </w:pPr>
    <w:rPr>
      <w:b w:val="0"/>
      <w:bCs w:val="0"/>
      <w:sz w:val="24"/>
      <w:szCs w:val="24"/>
    </w:rPr>
  </w:style>
  <w:style w:type="paragraph" w:styleId="TOC3">
    <w:name w:val="toc 3"/>
    <w:basedOn w:val="Heading3"/>
    <w:next w:val="Normal"/>
    <w:semiHidden/>
    <w:pPr>
      <w:tabs>
        <w:tab w:val="right" w:leader="dot" w:pos="9360"/>
      </w:tabs>
      <w:ind w:left="1440"/>
      <w:outlineLvl w:val="9"/>
    </w:pPr>
    <w:rPr>
      <w:b w:val="0"/>
      <w:bCs w:val="0"/>
    </w:rPr>
  </w:style>
  <w:style w:type="paragraph" w:styleId="TOC4">
    <w:name w:val="toc 4"/>
    <w:basedOn w:val="Heading4"/>
    <w:next w:val="Normal"/>
    <w:semiHidden/>
    <w:pPr>
      <w:tabs>
        <w:tab w:val="clear" w:pos="720"/>
        <w:tab w:val="left" w:pos="2160"/>
        <w:tab w:val="right" w:leader="dot" w:pos="9360"/>
      </w:tabs>
      <w:spacing w:line="240" w:lineRule="exact"/>
      <w:ind w:left="475"/>
      <w:outlineLvl w:val="9"/>
    </w:pPr>
    <w:rPr>
      <w:rFonts w:ascii="Times" w:hAnsi="Times"/>
    </w:rPr>
  </w:style>
  <w:style w:type="paragraph" w:styleId="Footer">
    <w:name w:val="footer"/>
    <w:basedOn w:val="Normal"/>
    <w:pPr>
      <w:tabs>
        <w:tab w:val="clear" w:pos="720"/>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20"/>
      </w:tabs>
      <w:spacing w:line="220" w:lineRule="exact"/>
    </w:pPr>
    <w:rPr>
      <w:rFonts w:ascii="Times" w:hAnsi="Times"/>
      <w:sz w:val="22"/>
      <w:szCs w:val="22"/>
      <w:lang/>
    </w:rPr>
  </w:style>
  <w:style w:type="paragraph" w:styleId="Heading1">
    <w:name w:val="heading 1"/>
    <w:basedOn w:val="Normal"/>
    <w:next w:val="Normal"/>
    <w:qFormat/>
    <w:pPr>
      <w:pageBreakBefore/>
      <w:spacing w:line="360" w:lineRule="exact"/>
      <w:outlineLvl w:val="0"/>
    </w:pPr>
    <w:rPr>
      <w:b/>
      <w:bCs/>
      <w:kern w:val="28"/>
      <w:sz w:val="36"/>
      <w:szCs w:val="36"/>
    </w:rPr>
  </w:style>
  <w:style w:type="paragraph" w:styleId="Heading2">
    <w:name w:val="heading 2"/>
    <w:basedOn w:val="Normal"/>
    <w:next w:val="Normal"/>
    <w:qFormat/>
    <w:pPr>
      <w:spacing w:line="280" w:lineRule="exact"/>
      <w:outlineLvl w:val="1"/>
    </w:pPr>
    <w:rPr>
      <w:b/>
      <w:bCs/>
      <w:sz w:val="28"/>
      <w:szCs w:val="28"/>
    </w:rPr>
  </w:style>
  <w:style w:type="paragraph" w:styleId="Heading3">
    <w:name w:val="heading 3"/>
    <w:basedOn w:val="Normal"/>
    <w:next w:val="Normal"/>
    <w:qFormat/>
    <w:pPr>
      <w:spacing w:line="480" w:lineRule="exact"/>
      <w:outlineLvl w:val="2"/>
    </w:pPr>
    <w:rPr>
      <w:b/>
      <w:bCs/>
    </w:rPr>
  </w:style>
  <w:style w:type="paragraph" w:styleId="Heading4">
    <w:name w:val="heading 4"/>
    <w:basedOn w:val="Normal"/>
    <w:next w:val="Normal"/>
    <w:qFormat/>
    <w:pPr>
      <w:keepNext/>
      <w:outlineLvl w:val="3"/>
    </w:pPr>
    <w:rPr>
      <w:rFonts w:ascii="Times New Roman" w:hAnsi="Times New Roman"/>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spacing w:line="480" w:lineRule="auto"/>
    </w:pPr>
  </w:style>
  <w:style w:type="paragraph" w:styleId="TOC1">
    <w:name w:val="toc 1"/>
    <w:basedOn w:val="Heading1"/>
    <w:next w:val="Normal"/>
    <w:semiHidden/>
    <w:pPr>
      <w:tabs>
        <w:tab w:val="right" w:leader="dot" w:pos="9360"/>
      </w:tabs>
      <w:spacing w:line="480" w:lineRule="auto"/>
      <w:outlineLvl w:val="9"/>
    </w:pPr>
  </w:style>
  <w:style w:type="paragraph" w:styleId="TOC2">
    <w:name w:val="toc 2"/>
    <w:basedOn w:val="Heading2"/>
    <w:next w:val="Normal"/>
    <w:semiHidden/>
    <w:pPr>
      <w:tabs>
        <w:tab w:val="right" w:leader="dot" w:pos="9360"/>
      </w:tabs>
      <w:spacing w:line="480" w:lineRule="exact"/>
      <w:ind w:left="720"/>
      <w:outlineLvl w:val="9"/>
    </w:pPr>
    <w:rPr>
      <w:b w:val="0"/>
      <w:bCs w:val="0"/>
      <w:sz w:val="24"/>
      <w:szCs w:val="24"/>
    </w:rPr>
  </w:style>
  <w:style w:type="paragraph" w:styleId="TOC3">
    <w:name w:val="toc 3"/>
    <w:basedOn w:val="Heading3"/>
    <w:next w:val="Normal"/>
    <w:semiHidden/>
    <w:pPr>
      <w:tabs>
        <w:tab w:val="right" w:leader="dot" w:pos="9360"/>
      </w:tabs>
      <w:ind w:left="1440"/>
      <w:outlineLvl w:val="9"/>
    </w:pPr>
    <w:rPr>
      <w:b w:val="0"/>
      <w:bCs w:val="0"/>
    </w:rPr>
  </w:style>
  <w:style w:type="paragraph" w:styleId="TOC4">
    <w:name w:val="toc 4"/>
    <w:basedOn w:val="Heading4"/>
    <w:next w:val="Normal"/>
    <w:semiHidden/>
    <w:pPr>
      <w:tabs>
        <w:tab w:val="clear" w:pos="720"/>
        <w:tab w:val="left" w:pos="2160"/>
        <w:tab w:val="right" w:leader="dot" w:pos="9360"/>
      </w:tabs>
      <w:spacing w:line="240" w:lineRule="exact"/>
      <w:ind w:left="475"/>
      <w:outlineLvl w:val="9"/>
    </w:pPr>
    <w:rPr>
      <w:rFonts w:ascii="Times" w:hAnsi="Times"/>
    </w:rPr>
  </w:style>
  <w:style w:type="paragraph" w:styleId="Footer">
    <w:name w:val="footer"/>
    <w:basedOn w:val="Normal"/>
    <w:pPr>
      <w:tabs>
        <w:tab w:val="clear" w:pos="720"/>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Consulting Agreement</vt:lpstr>
    </vt:vector>
  </TitlesOfParts>
  <Company>Process Impact</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Agreement</dc:title>
  <dc:creator>Karl Wiegers</dc:creator>
  <cp:lastModifiedBy>Karl Wiegers</cp:lastModifiedBy>
  <cp:revision>2</cp:revision>
  <cp:lastPrinted>2012-03-08T21:23:00Z</cp:lastPrinted>
  <dcterms:created xsi:type="dcterms:W3CDTF">2017-11-14T16:37:00Z</dcterms:created>
  <dcterms:modified xsi:type="dcterms:W3CDTF">2017-11-14T16:37:00Z</dcterms:modified>
</cp:coreProperties>
</file>